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5C2D61">
      <w:pPr>
        <w:spacing w:after="40" w:line="288" w:lineRule="auto"/>
        <w:jc w:val="center"/>
        <w:rPr>
          <w:b/>
          <w:bCs/>
          <w:sz w:val="28"/>
          <w:szCs w:val="28"/>
        </w:rPr>
      </w:pPr>
      <w:bookmarkStart w:id="0" w:name="_GoBack"/>
      <w:bookmarkEnd w:id="0"/>
      <w:r>
        <w:rPr>
          <w:b/>
          <w:bCs/>
          <w:sz w:val="28"/>
          <w:szCs w:val="28"/>
        </w:rPr>
        <w:t xml:space="preserve">PHIẾU LẤY Ý KIẾN:  </w:t>
      </w:r>
    </w:p>
    <w:p w14:paraId="7C45CCB5">
      <w:pPr>
        <w:spacing w:after="40" w:line="288" w:lineRule="auto"/>
        <w:jc w:val="center"/>
        <w:rPr>
          <w:b/>
          <w:bCs/>
          <w:sz w:val="24"/>
          <w:szCs w:val="24"/>
        </w:rPr>
      </w:pPr>
      <w:r>
        <w:rPr>
          <w:b/>
          <w:bCs/>
        </w:rPr>
        <w:t xml:space="preserve">BÀI TOÁN SỐ 10 </w:t>
      </w:r>
      <w:r>
        <w:rPr>
          <w:b/>
          <w:bCs/>
          <w:sz w:val="24"/>
          <w:szCs w:val="24"/>
        </w:rPr>
        <w:t>GIẢI PHÁP NÀO ỨNG DỤNG CÔNG NGHỆ VI SINH, SỐ HÓA VÀ AI ĐỂ CHUYỂN HÓA SINH KHỐI, CHẤT THẢI HỮU CƠ (BÈO LỤC BÌNH, CHẤT THẢI VÀ NƯỚC THẢI CHĂN NUÔI, PHỤ PHẨM NÔNG NGHIỆP) THÀNH PHÂN BÓN HỮU CƠ, GIÁ THỂ VÀ NƯỚC TÁI SỬ DỤNG, HÌNH THÀNH CHUỖI NÔNG NGHIỆP TUẦN HOÀN, TẠO ĐỘNG LỰC TĂNG TRƯỞNG MỚI CHO KHU VỰC NÔNG NGHIỆP – NÔNG THÔN HẢI PHÒNG</w:t>
      </w:r>
    </w:p>
    <w:p w14:paraId="1CCB403B">
      <w:pPr>
        <w:spacing w:after="40" w:line="288" w:lineRule="auto"/>
        <w:jc w:val="center"/>
        <w:rPr>
          <w:b/>
          <w:bCs/>
          <w:sz w:val="24"/>
          <w:szCs w:val="24"/>
        </w:rPr>
      </w:pPr>
    </w:p>
    <w:p w14:paraId="3C6BD04E">
      <w:pPr>
        <w:spacing w:before="40" w:after="120" w:line="288" w:lineRule="auto"/>
        <w:jc w:val="both"/>
        <w:rPr>
          <w:sz w:val="28"/>
          <w:szCs w:val="28"/>
        </w:rPr>
      </w:pPr>
      <w:r>
        <w:rPr>
          <w:sz w:val="28"/>
          <w:szCs w:val="28"/>
        </w:rPr>
        <w:t>Tên tổ chức đơn vị tham gia ý kiến:</w:t>
      </w:r>
    </w:p>
    <w:p w14:paraId="0F231502">
      <w:pPr>
        <w:spacing w:before="40" w:after="120" w:line="288" w:lineRule="auto"/>
        <w:jc w:val="both"/>
        <w:rPr>
          <w:sz w:val="28"/>
          <w:szCs w:val="28"/>
        </w:rPr>
      </w:pPr>
      <w:r>
        <w:rPr>
          <w:sz w:val="28"/>
          <w:szCs w:val="28"/>
        </w:rPr>
        <w:t>Họ và tên người tham gia ý kiến:</w:t>
      </w:r>
    </w:p>
    <w:p w14:paraId="4FE9AAF1">
      <w:pPr>
        <w:spacing w:before="40" w:after="120" w:line="288" w:lineRule="auto"/>
        <w:jc w:val="both"/>
        <w:rPr>
          <w:sz w:val="28"/>
          <w:szCs w:val="28"/>
        </w:rPr>
      </w:pPr>
      <w:r>
        <w:rPr>
          <w:sz w:val="28"/>
          <w:szCs w:val="28"/>
        </w:rPr>
        <w:t>Số điện thoại liên hệ:</w:t>
      </w:r>
    </w:p>
    <w:tbl>
      <w:tblPr>
        <w:tblStyle w:val="9"/>
        <w:tblW w:w="139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141"/>
        <w:gridCol w:w="6095"/>
        <w:gridCol w:w="5757"/>
      </w:tblGrid>
      <w:tr w14:paraId="5C1A3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41" w:type="dxa"/>
            <w:tcBorders>
              <w:top w:val="single" w:color="000000" w:sz="4" w:space="0"/>
              <w:left w:val="single" w:color="000000" w:sz="4" w:space="0"/>
              <w:bottom w:val="single" w:color="000000" w:sz="4" w:space="0"/>
              <w:right w:val="single" w:color="000000" w:sz="4" w:space="0"/>
            </w:tcBorders>
            <w:shd w:val="clear" w:color="auto" w:fill="F2F2F2"/>
            <w:tcMar>
              <w:top w:w="50" w:type="dxa"/>
              <w:left w:w="90" w:type="dxa"/>
              <w:bottom w:w="50" w:type="dxa"/>
              <w:right w:w="90" w:type="dxa"/>
            </w:tcMar>
          </w:tcPr>
          <w:p w14:paraId="524FC8C0">
            <w:pPr>
              <w:spacing w:before="20" w:after="20" w:line="264" w:lineRule="auto"/>
            </w:pPr>
          </w:p>
        </w:tc>
        <w:tc>
          <w:tcPr>
            <w:tcW w:w="6095" w:type="dxa"/>
            <w:tcBorders>
              <w:top w:val="single" w:color="000000" w:sz="4" w:space="0"/>
              <w:left w:val="single" w:color="000000" w:sz="4" w:space="0"/>
              <w:bottom w:val="single" w:color="000000" w:sz="4" w:space="0"/>
              <w:right w:val="single" w:color="000000" w:sz="4" w:space="0"/>
            </w:tcBorders>
            <w:tcMar>
              <w:top w:w="50" w:type="dxa"/>
              <w:left w:w="90" w:type="dxa"/>
              <w:bottom w:w="50" w:type="dxa"/>
              <w:right w:w="90" w:type="dxa"/>
            </w:tcMar>
          </w:tcPr>
          <w:p w14:paraId="59D5487D">
            <w:pPr>
              <w:spacing w:before="20" w:after="20" w:line="264" w:lineRule="auto"/>
            </w:pPr>
          </w:p>
        </w:tc>
        <w:tc>
          <w:tcPr>
            <w:tcW w:w="5757" w:type="dxa"/>
            <w:tcBorders>
              <w:top w:val="single" w:color="000000" w:sz="4" w:space="0"/>
              <w:left w:val="single" w:color="000000" w:sz="4" w:space="0"/>
              <w:bottom w:val="single" w:color="000000" w:sz="4" w:space="0"/>
              <w:right w:val="single" w:color="000000" w:sz="4" w:space="0"/>
            </w:tcBorders>
          </w:tcPr>
          <w:p w14:paraId="664ABBF9">
            <w:pPr>
              <w:spacing w:before="20" w:after="20" w:line="264" w:lineRule="auto"/>
              <w:jc w:val="center"/>
              <w:rPr>
                <w:sz w:val="24"/>
                <w:szCs w:val="24"/>
              </w:rPr>
            </w:pPr>
            <w:r>
              <w:rPr>
                <w:b/>
                <w:bCs/>
                <w:sz w:val="24"/>
                <w:szCs w:val="24"/>
              </w:rPr>
              <w:t>Ý kiến tham gia</w:t>
            </w:r>
          </w:p>
        </w:tc>
      </w:tr>
      <w:tr w14:paraId="2400B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41" w:type="dxa"/>
            <w:tcBorders>
              <w:top w:val="single" w:color="000000" w:sz="4" w:space="0"/>
              <w:left w:val="single" w:color="000000" w:sz="4" w:space="0"/>
              <w:bottom w:val="single" w:color="000000" w:sz="4" w:space="0"/>
              <w:right w:val="single" w:color="000000" w:sz="4" w:space="0"/>
            </w:tcBorders>
            <w:shd w:val="clear" w:color="auto" w:fill="F2F2F2"/>
            <w:tcMar>
              <w:top w:w="50" w:type="dxa"/>
              <w:left w:w="90" w:type="dxa"/>
              <w:bottom w:w="50" w:type="dxa"/>
              <w:right w:w="90" w:type="dxa"/>
            </w:tcMar>
          </w:tcPr>
          <w:p w14:paraId="744E5BFB">
            <w:pPr>
              <w:spacing w:before="20" w:after="20" w:line="264" w:lineRule="auto"/>
            </w:pPr>
            <w:r>
              <w:rPr>
                <w:b/>
                <w:bCs/>
                <w:sz w:val="24"/>
                <w:szCs w:val="24"/>
              </w:rPr>
              <w:t>1. Vấn đề</w:t>
            </w:r>
          </w:p>
        </w:tc>
        <w:tc>
          <w:tcPr>
            <w:tcW w:w="6095" w:type="dxa"/>
            <w:tcBorders>
              <w:top w:val="single" w:color="000000" w:sz="4" w:space="0"/>
              <w:left w:val="single" w:color="000000" w:sz="4" w:space="0"/>
              <w:bottom w:val="single" w:color="000000" w:sz="4" w:space="0"/>
              <w:right w:val="single" w:color="000000" w:sz="4" w:space="0"/>
            </w:tcBorders>
            <w:tcMar>
              <w:top w:w="50" w:type="dxa"/>
              <w:left w:w="90" w:type="dxa"/>
              <w:bottom w:w="50" w:type="dxa"/>
              <w:right w:w="90" w:type="dxa"/>
            </w:tcMar>
          </w:tcPr>
          <w:p w14:paraId="7D2B9A66">
            <w:pPr>
              <w:pStyle w:val="17"/>
              <w:numPr>
                <w:ilvl w:val="0"/>
                <w:numId w:val="1"/>
              </w:numPr>
              <w:spacing w:before="20" w:after="20" w:line="264" w:lineRule="auto"/>
              <w:jc w:val="both"/>
              <w:rPr>
                <w:sz w:val="24"/>
                <w:szCs w:val="24"/>
              </w:rPr>
            </w:pPr>
            <w:r>
              <w:rPr>
                <w:sz w:val="24"/>
                <w:szCs w:val="24"/>
              </w:rPr>
              <w:t>Bèo lục bình phát triển dày đặc trên sông Giá, kênh Hòn Ngọc và các kênh tiêu khu vực Thủy Nguyên, An Dương, Kiến Thụy, Tiên Lãng, Vĩnh Bảo, phía Tây thành phố: làm giảm tiết diện dòng chảy, tắc lưới chắn rác trạm bơm, kéo dài thời gian tiêu thoát (liên quan trực tiếp Bài toán 9), gây ô nhiễm nước; chi phí vớt, xử lý hằng năm lớn nhưng sinh khối chủ yếu bị bỏ đi.</w:t>
            </w:r>
          </w:p>
          <w:p w14:paraId="0CCF42C1">
            <w:pPr>
              <w:pStyle w:val="17"/>
              <w:numPr>
                <w:ilvl w:val="0"/>
                <w:numId w:val="1"/>
              </w:numPr>
              <w:spacing w:before="20" w:after="20" w:line="264" w:lineRule="auto"/>
              <w:jc w:val="both"/>
              <w:rPr>
                <w:sz w:val="24"/>
                <w:szCs w:val="24"/>
              </w:rPr>
            </w:pPr>
            <w:r>
              <w:rPr>
                <w:sz w:val="24"/>
                <w:szCs w:val="24"/>
              </w:rPr>
              <w:t>Chất thải, nước thải chăn nuôi (lợn, gia cầm) tại vùng chăn nuôi tập trung và hộ nhỏ lẻ chưa được xử lý triệt để; phụ phẩm trồng trọt (rơm rạ, thân cây) chưa được thu gom, tái sử dụng hiệu quả.</w:t>
            </w:r>
          </w:p>
          <w:p w14:paraId="064097CB">
            <w:pPr>
              <w:pStyle w:val="17"/>
              <w:numPr>
                <w:ilvl w:val="0"/>
                <w:numId w:val="1"/>
              </w:numPr>
              <w:spacing w:before="20" w:after="20" w:line="264" w:lineRule="auto"/>
              <w:jc w:val="both"/>
              <w:rPr>
                <w:sz w:val="24"/>
                <w:szCs w:val="24"/>
              </w:rPr>
            </w:pPr>
            <w:r>
              <w:rPr>
                <w:sz w:val="24"/>
                <w:szCs w:val="24"/>
              </w:rPr>
              <w:t>Điểm nghẽn: chưa có số liệu định lượng sinh khối để quy hoạch điểm xử lý; quy trình vi sinh chưa ổn định giữa các lô; chưa có tiêu chuẩn cơ sở cho giá thể, chất cải tạo đất từ sinh khối thủy sinh; chưa có cơ chế đo đếm phát thải (MRV) để tiếp cận tài chính xanh; thủ tục công nhận lưu hành phân bón kéo dài 12–24 tháng; quy mô xử lý nhỏ, phân tán.</w:t>
            </w:r>
          </w:p>
        </w:tc>
        <w:tc>
          <w:tcPr>
            <w:tcW w:w="5757" w:type="dxa"/>
            <w:tcBorders>
              <w:top w:val="single" w:color="000000" w:sz="4" w:space="0"/>
              <w:left w:val="single" w:color="000000" w:sz="4" w:space="0"/>
              <w:bottom w:val="single" w:color="000000" w:sz="4" w:space="0"/>
              <w:right w:val="single" w:color="000000" w:sz="4" w:space="0"/>
            </w:tcBorders>
          </w:tcPr>
          <w:p w14:paraId="770C0AA1">
            <w:pPr>
              <w:pStyle w:val="17"/>
              <w:spacing w:before="20" w:after="20" w:line="264" w:lineRule="auto"/>
              <w:ind w:left="200"/>
              <w:rPr>
                <w:sz w:val="24"/>
                <w:szCs w:val="24"/>
              </w:rPr>
            </w:pPr>
          </w:p>
        </w:tc>
      </w:tr>
      <w:tr w14:paraId="7B9E6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41" w:type="dxa"/>
            <w:tcBorders>
              <w:top w:val="single" w:color="000000" w:sz="4" w:space="0"/>
              <w:left w:val="single" w:color="000000" w:sz="4" w:space="0"/>
              <w:bottom w:val="single" w:color="000000" w:sz="4" w:space="0"/>
              <w:right w:val="single" w:color="000000" w:sz="4" w:space="0"/>
            </w:tcBorders>
            <w:shd w:val="clear" w:color="auto" w:fill="F2F2F2"/>
            <w:tcMar>
              <w:top w:w="50" w:type="dxa"/>
              <w:left w:w="90" w:type="dxa"/>
              <w:bottom w:w="50" w:type="dxa"/>
              <w:right w:w="90" w:type="dxa"/>
            </w:tcMar>
          </w:tcPr>
          <w:p w14:paraId="49BBAEC2">
            <w:pPr>
              <w:spacing w:before="20" w:after="20" w:line="264" w:lineRule="auto"/>
            </w:pPr>
            <w:r>
              <w:rPr>
                <w:b/>
                <w:bCs/>
                <w:sz w:val="24"/>
                <w:szCs w:val="24"/>
              </w:rPr>
              <w:t>2. Quy mô (số liệu)</w:t>
            </w:r>
          </w:p>
        </w:tc>
        <w:tc>
          <w:tcPr>
            <w:tcW w:w="6095" w:type="dxa"/>
            <w:tcBorders>
              <w:top w:val="single" w:color="000000" w:sz="4" w:space="0"/>
              <w:left w:val="single" w:color="000000" w:sz="4" w:space="0"/>
              <w:bottom w:val="single" w:color="000000" w:sz="4" w:space="0"/>
              <w:right w:val="single" w:color="000000" w:sz="4" w:space="0"/>
            </w:tcBorders>
            <w:tcMar>
              <w:top w:w="50" w:type="dxa"/>
              <w:left w:w="90" w:type="dxa"/>
              <w:bottom w:w="50" w:type="dxa"/>
              <w:right w:w="90" w:type="dxa"/>
            </w:tcMar>
          </w:tcPr>
          <w:p w14:paraId="725FCA65">
            <w:pPr>
              <w:pStyle w:val="17"/>
              <w:numPr>
                <w:ilvl w:val="0"/>
                <w:numId w:val="1"/>
              </w:numPr>
              <w:spacing w:before="20" w:after="20" w:line="264" w:lineRule="auto"/>
              <w:jc w:val="both"/>
              <w:rPr>
                <w:sz w:val="24"/>
                <w:szCs w:val="24"/>
              </w:rPr>
            </w:pPr>
            <w:r>
              <w:rPr>
                <w:sz w:val="24"/>
                <w:szCs w:val="24"/>
              </w:rPr>
              <w:t xml:space="preserve">Chăn nuôi: giá trị sản xuất năm 2025 trên 13.047 tỷ đồng (trên 32% giá trị sản xuất nông nghiệp); tháng 5/2026 đàn lợn khoảng 501.240 con, gia cầm khoảng 23,59 triệu con; 3.890 trang trại (1.012 trại lợn) và 63.074 hộ chăn nuôi (14.408 hộ nuôi lợn); 18 vùng chăn nuôi tập trung (nguồn: Sở NN&amp;MT, Thống kê TP). </w:t>
            </w:r>
          </w:p>
          <w:p w14:paraId="625E7B6D">
            <w:pPr>
              <w:pStyle w:val="17"/>
              <w:numPr>
                <w:ilvl w:val="0"/>
                <w:numId w:val="1"/>
              </w:numPr>
              <w:spacing w:before="20" w:after="20" w:line="264" w:lineRule="auto"/>
              <w:jc w:val="both"/>
              <w:rPr>
                <w:sz w:val="24"/>
                <w:szCs w:val="24"/>
              </w:rPr>
            </w:pPr>
            <w:r>
              <w:rPr>
                <w:sz w:val="24"/>
                <w:szCs w:val="24"/>
              </w:rPr>
              <w:t xml:space="preserve">Trồng trọt: vụ Mùa 2026 gieo cấy 77.200 ha lúa và 15.200 ha rau màu; diện tích gieo trồng cây hàng năm năm 2025 đạt 222.179 ha. </w:t>
            </w:r>
          </w:p>
          <w:p w14:paraId="444B0128">
            <w:pPr>
              <w:pStyle w:val="17"/>
              <w:numPr>
                <w:ilvl w:val="0"/>
                <w:numId w:val="1"/>
              </w:numPr>
              <w:spacing w:before="20" w:after="20" w:line="264" w:lineRule="auto"/>
              <w:jc w:val="both"/>
              <w:rPr>
                <w:sz w:val="24"/>
                <w:szCs w:val="24"/>
              </w:rPr>
            </w:pPr>
            <w:r>
              <w:rPr>
                <w:sz w:val="24"/>
                <w:szCs w:val="24"/>
              </w:rPr>
              <w:t>Chất thải rắn sinh hoạt khoảng 1,21 triệu tấn/năm, trong đó chỉ khoảng 21% được phân loại để tái chế, tái sử dụng, xử lý hữu cơ.</w:t>
            </w:r>
          </w:p>
        </w:tc>
        <w:tc>
          <w:tcPr>
            <w:tcW w:w="5757" w:type="dxa"/>
            <w:tcBorders>
              <w:top w:val="single" w:color="000000" w:sz="4" w:space="0"/>
              <w:left w:val="single" w:color="000000" w:sz="4" w:space="0"/>
              <w:bottom w:val="single" w:color="000000" w:sz="4" w:space="0"/>
              <w:right w:val="single" w:color="000000" w:sz="4" w:space="0"/>
            </w:tcBorders>
          </w:tcPr>
          <w:p w14:paraId="0C783BE4">
            <w:pPr>
              <w:pStyle w:val="17"/>
              <w:spacing w:before="20" w:after="20" w:line="264" w:lineRule="auto"/>
              <w:ind w:left="200"/>
              <w:rPr>
                <w:sz w:val="24"/>
                <w:szCs w:val="24"/>
              </w:rPr>
            </w:pPr>
          </w:p>
        </w:tc>
      </w:tr>
      <w:tr w14:paraId="4D884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41" w:type="dxa"/>
            <w:tcBorders>
              <w:top w:val="single" w:color="000000" w:sz="4" w:space="0"/>
              <w:left w:val="single" w:color="000000" w:sz="4" w:space="0"/>
              <w:bottom w:val="single" w:color="000000" w:sz="4" w:space="0"/>
              <w:right w:val="single" w:color="000000" w:sz="4" w:space="0"/>
            </w:tcBorders>
            <w:shd w:val="clear" w:color="auto" w:fill="F2F2F2"/>
            <w:tcMar>
              <w:top w:w="50" w:type="dxa"/>
              <w:left w:w="90" w:type="dxa"/>
              <w:bottom w:w="50" w:type="dxa"/>
              <w:right w:w="90" w:type="dxa"/>
            </w:tcMar>
          </w:tcPr>
          <w:p w14:paraId="066C93F5">
            <w:pPr>
              <w:spacing w:before="20" w:after="20" w:line="264" w:lineRule="auto"/>
            </w:pPr>
            <w:r>
              <w:rPr>
                <w:b/>
                <w:bCs/>
                <w:sz w:val="24"/>
                <w:szCs w:val="24"/>
              </w:rPr>
              <w:t>3. Câu hỏi KHCN</w:t>
            </w:r>
          </w:p>
        </w:tc>
        <w:tc>
          <w:tcPr>
            <w:tcW w:w="6095" w:type="dxa"/>
            <w:tcBorders>
              <w:top w:val="single" w:color="000000" w:sz="4" w:space="0"/>
              <w:left w:val="single" w:color="000000" w:sz="4" w:space="0"/>
              <w:bottom w:val="single" w:color="000000" w:sz="4" w:space="0"/>
              <w:right w:val="single" w:color="000000" w:sz="4" w:space="0"/>
            </w:tcBorders>
            <w:tcMar>
              <w:top w:w="50" w:type="dxa"/>
              <w:left w:w="90" w:type="dxa"/>
              <w:bottom w:w="50" w:type="dxa"/>
              <w:right w:w="90" w:type="dxa"/>
            </w:tcMar>
          </w:tcPr>
          <w:p w14:paraId="0E74C01A">
            <w:pPr>
              <w:pStyle w:val="17"/>
              <w:numPr>
                <w:ilvl w:val="0"/>
                <w:numId w:val="1"/>
              </w:numPr>
              <w:spacing w:before="20" w:after="20" w:line="264" w:lineRule="auto"/>
              <w:jc w:val="both"/>
            </w:pPr>
            <w:r>
              <w:rPr>
                <w:sz w:val="24"/>
                <w:szCs w:val="24"/>
              </w:rPr>
              <w:t>(1) Tổng sinh khối bèo lục bình và chất thải chăn nuôi trên các lưu vực theo mùa là bao nhiêu; ngưỡng khai thác bền vững và bản đồ phân bố nguồn nguyên liệu được xây dựng bằng UAV, viễn thám, AI như thế nào?</w:t>
            </w:r>
          </w:p>
          <w:p w14:paraId="2FFA4B5C">
            <w:pPr>
              <w:pStyle w:val="17"/>
              <w:numPr>
                <w:ilvl w:val="0"/>
                <w:numId w:val="1"/>
              </w:numPr>
              <w:spacing w:before="20" w:after="20" w:line="264" w:lineRule="auto"/>
              <w:jc w:val="both"/>
            </w:pPr>
            <w:r>
              <w:rPr>
                <w:sz w:val="24"/>
                <w:szCs w:val="24"/>
              </w:rPr>
              <w:t>(2) Quy trình vi sinh nào ổn định chất lượng giữa các lô để sản xuất giá thể, phân bón hữu cơ đạt tiêu chuẩn; kiểm soát bằng IoT và thống kê ra sao?</w:t>
            </w:r>
          </w:p>
          <w:p w14:paraId="3029DED1">
            <w:pPr>
              <w:pStyle w:val="17"/>
              <w:numPr>
                <w:ilvl w:val="0"/>
                <w:numId w:val="1"/>
              </w:numPr>
              <w:spacing w:before="20" w:after="20" w:line="264" w:lineRule="auto"/>
              <w:jc w:val="both"/>
            </w:pPr>
            <w:r>
              <w:rPr>
                <w:sz w:val="24"/>
                <w:szCs w:val="24"/>
              </w:rPr>
              <w:t>(3) Công nghệ nào tách, tái chế nước thải chăn nuôi thành phân bón hữu cơ và nước tái sử dụng an toàn dịch bệnh, chi phí phù hợp trang trại vừa và nhỏ?</w:t>
            </w:r>
          </w:p>
          <w:p w14:paraId="5155BBF6">
            <w:pPr>
              <w:pStyle w:val="17"/>
              <w:numPr>
                <w:ilvl w:val="0"/>
                <w:numId w:val="1"/>
              </w:numPr>
              <w:spacing w:before="20" w:after="20" w:line="264" w:lineRule="auto"/>
              <w:jc w:val="both"/>
            </w:pPr>
            <w:r>
              <w:rPr>
                <w:sz w:val="24"/>
                <w:szCs w:val="24"/>
              </w:rPr>
              <w:t>(4) Bộ dữ liệu cân bằng vật chất, phát thải CH₄, N₂O theo phương pháp MRV cần xây dựng thế nào để sản phẩm nông nghiệp tuần hoàn tiếp cận tài chính xanh, tín chỉ carbon?</w:t>
            </w:r>
          </w:p>
          <w:p w14:paraId="6118A382">
            <w:pPr>
              <w:pStyle w:val="17"/>
              <w:numPr>
                <w:ilvl w:val="0"/>
                <w:numId w:val="1"/>
              </w:numPr>
              <w:spacing w:before="20" w:after="20" w:line="264" w:lineRule="auto"/>
            </w:pPr>
            <w:r>
              <w:rPr>
                <w:sz w:val="24"/>
                <w:szCs w:val="24"/>
              </w:rPr>
              <w:t>(5) Mô hình liên kết HTX – DN – viện nghiên cứu – chính quyền nào để nhân rộng ra các vùng nguyên liệu, gắn với giải quyết ngập úng và ô nhiễm kênh tiêu?</w:t>
            </w:r>
          </w:p>
        </w:tc>
        <w:tc>
          <w:tcPr>
            <w:tcW w:w="5757" w:type="dxa"/>
            <w:tcBorders>
              <w:top w:val="single" w:color="000000" w:sz="4" w:space="0"/>
              <w:left w:val="single" w:color="000000" w:sz="4" w:space="0"/>
              <w:bottom w:val="single" w:color="000000" w:sz="4" w:space="0"/>
              <w:right w:val="single" w:color="000000" w:sz="4" w:space="0"/>
            </w:tcBorders>
          </w:tcPr>
          <w:p w14:paraId="09459596">
            <w:pPr>
              <w:pStyle w:val="17"/>
              <w:spacing w:before="20" w:after="20" w:line="264" w:lineRule="auto"/>
              <w:ind w:left="200"/>
              <w:rPr>
                <w:sz w:val="24"/>
                <w:szCs w:val="24"/>
              </w:rPr>
            </w:pPr>
          </w:p>
        </w:tc>
      </w:tr>
      <w:tr w14:paraId="7743A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41" w:type="dxa"/>
            <w:tcBorders>
              <w:top w:val="single" w:color="000000" w:sz="4" w:space="0"/>
              <w:left w:val="single" w:color="000000" w:sz="4" w:space="0"/>
              <w:bottom w:val="single" w:color="000000" w:sz="4" w:space="0"/>
              <w:right w:val="single" w:color="000000" w:sz="4" w:space="0"/>
            </w:tcBorders>
            <w:shd w:val="clear" w:color="auto" w:fill="F2F2F2"/>
            <w:tcMar>
              <w:top w:w="50" w:type="dxa"/>
              <w:left w:w="90" w:type="dxa"/>
              <w:bottom w:w="50" w:type="dxa"/>
              <w:right w:w="90" w:type="dxa"/>
            </w:tcMar>
          </w:tcPr>
          <w:p w14:paraId="00759B57">
            <w:pPr>
              <w:spacing w:before="20" w:after="20" w:line="264" w:lineRule="auto"/>
            </w:pPr>
            <w:r>
              <w:rPr>
                <w:b/>
                <w:bCs/>
                <w:sz w:val="24"/>
                <w:szCs w:val="24"/>
              </w:rPr>
              <w:t>4. Sản phẩm, ngành nghề mới</w:t>
            </w:r>
          </w:p>
        </w:tc>
        <w:tc>
          <w:tcPr>
            <w:tcW w:w="6095" w:type="dxa"/>
            <w:tcBorders>
              <w:top w:val="single" w:color="000000" w:sz="4" w:space="0"/>
              <w:left w:val="single" w:color="000000" w:sz="4" w:space="0"/>
              <w:bottom w:val="single" w:color="000000" w:sz="4" w:space="0"/>
              <w:right w:val="single" w:color="000000" w:sz="4" w:space="0"/>
            </w:tcBorders>
            <w:tcMar>
              <w:top w:w="50" w:type="dxa"/>
              <w:left w:w="90" w:type="dxa"/>
              <w:bottom w:w="50" w:type="dxa"/>
              <w:right w:w="90" w:type="dxa"/>
            </w:tcMar>
          </w:tcPr>
          <w:p w14:paraId="3AD509AF">
            <w:pPr>
              <w:pStyle w:val="17"/>
              <w:numPr>
                <w:ilvl w:val="0"/>
                <w:numId w:val="1"/>
              </w:numPr>
              <w:spacing w:before="20" w:after="20" w:line="264" w:lineRule="auto"/>
              <w:jc w:val="both"/>
            </w:pPr>
            <w:r>
              <w:rPr>
                <w:sz w:val="24"/>
                <w:szCs w:val="24"/>
              </w:rPr>
              <w:t>Sản phẩm: bản đồ và bộ dữ liệu sinh khối bèo lục bình, chất thải chăn nuôi theo lưu vực, cập nhật định kỳ, tích hợp IOC; quy trình công nghệ vi sinh chuẩn hóa; 02 sản phẩm có tiêu chuẩn cơ sở (giá thể hữu cơ, chất cải tạo đất); mô hình pilot tái chế nước thải chăn nuôi thành phân bón và nước tái sử dụng; bộ dữ liệu phát thải theo MRV; mô hình pilot tại Sông Giá và ít nhất 01 điểm nhân rộng.</w:t>
            </w:r>
          </w:p>
          <w:p w14:paraId="19E15771">
            <w:pPr>
              <w:pStyle w:val="17"/>
              <w:numPr>
                <w:ilvl w:val="0"/>
                <w:numId w:val="1"/>
              </w:numPr>
              <w:spacing w:before="20" w:after="20" w:line="264" w:lineRule="auto"/>
              <w:jc w:val="both"/>
            </w:pPr>
            <w:r>
              <w:rPr>
                <w:sz w:val="24"/>
                <w:szCs w:val="24"/>
              </w:rPr>
              <w:t>Ngành nghề mới: công nghiệp chế biến sinh khối thủy sinh thành giá thể, phân bón hữu cơ; dịch vụ dữ liệu sinh khối; thiết bị xử lý chất thải chăn nuôi quy mô nhỏ; nông nghiệp tuần hoàn gắn tín chỉ phát thải.</w:t>
            </w:r>
          </w:p>
        </w:tc>
        <w:tc>
          <w:tcPr>
            <w:tcW w:w="5757" w:type="dxa"/>
            <w:tcBorders>
              <w:top w:val="single" w:color="000000" w:sz="4" w:space="0"/>
              <w:left w:val="single" w:color="000000" w:sz="4" w:space="0"/>
              <w:bottom w:val="single" w:color="000000" w:sz="4" w:space="0"/>
              <w:right w:val="single" w:color="000000" w:sz="4" w:space="0"/>
            </w:tcBorders>
          </w:tcPr>
          <w:p w14:paraId="74E45952">
            <w:pPr>
              <w:pStyle w:val="17"/>
              <w:spacing w:before="20" w:after="20" w:line="264" w:lineRule="auto"/>
              <w:ind w:left="200"/>
              <w:rPr>
                <w:sz w:val="24"/>
                <w:szCs w:val="24"/>
              </w:rPr>
            </w:pPr>
          </w:p>
        </w:tc>
      </w:tr>
      <w:tr w14:paraId="5C30E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41" w:type="dxa"/>
            <w:tcBorders>
              <w:top w:val="single" w:color="000000" w:sz="4" w:space="0"/>
              <w:left w:val="single" w:color="000000" w:sz="4" w:space="0"/>
              <w:bottom w:val="single" w:color="000000" w:sz="4" w:space="0"/>
              <w:right w:val="single" w:color="000000" w:sz="4" w:space="0"/>
            </w:tcBorders>
            <w:shd w:val="clear" w:color="auto" w:fill="F2F2F2"/>
            <w:tcMar>
              <w:top w:w="50" w:type="dxa"/>
              <w:left w:w="90" w:type="dxa"/>
              <w:bottom w:w="50" w:type="dxa"/>
              <w:right w:w="90" w:type="dxa"/>
            </w:tcMar>
          </w:tcPr>
          <w:p w14:paraId="7939FC61">
            <w:pPr>
              <w:spacing w:before="20" w:after="20" w:line="264" w:lineRule="auto"/>
            </w:pPr>
            <w:r>
              <w:rPr>
                <w:b/>
                <w:bCs/>
                <w:sz w:val="24"/>
                <w:szCs w:val="24"/>
              </w:rPr>
              <w:t>5. Giá trị kinh tế ước tính</w:t>
            </w:r>
          </w:p>
        </w:tc>
        <w:tc>
          <w:tcPr>
            <w:tcW w:w="6095" w:type="dxa"/>
            <w:tcBorders>
              <w:top w:val="single" w:color="000000" w:sz="4" w:space="0"/>
              <w:left w:val="single" w:color="000000" w:sz="4" w:space="0"/>
              <w:bottom w:val="single" w:color="000000" w:sz="4" w:space="0"/>
              <w:right w:val="single" w:color="000000" w:sz="4" w:space="0"/>
            </w:tcBorders>
            <w:tcMar>
              <w:top w:w="50" w:type="dxa"/>
              <w:left w:w="90" w:type="dxa"/>
              <w:bottom w:w="50" w:type="dxa"/>
              <w:right w:w="90" w:type="dxa"/>
            </w:tcMar>
          </w:tcPr>
          <w:p w14:paraId="40940269">
            <w:pPr>
              <w:pStyle w:val="17"/>
              <w:numPr>
                <w:ilvl w:val="0"/>
                <w:numId w:val="1"/>
              </w:numPr>
              <w:spacing w:before="20" w:after="20" w:line="264" w:lineRule="auto"/>
              <w:jc w:val="both"/>
            </w:pPr>
            <w:r>
              <w:rPr>
                <w:sz w:val="24"/>
                <w:szCs w:val="24"/>
              </w:rPr>
              <w:t>Nền tảng sẵn có: nhiệm vụ KH&amp;CN cấp thành phố (2024–2026) do Công ty TNHH Nông Nghiệp Xanh Sông Giá chủ trì đã hình thành chuỗi bèo → mùn, giá thể → giun quế → phân bón hữu cơ, sản phẩm đã thương mại hóa; có thể triển khai ngay.</w:t>
            </w:r>
          </w:p>
          <w:p w14:paraId="7F900520">
            <w:pPr>
              <w:pStyle w:val="17"/>
              <w:numPr>
                <w:ilvl w:val="0"/>
                <w:numId w:val="1"/>
              </w:numPr>
              <w:spacing w:before="20" w:after="20" w:line="264" w:lineRule="auto"/>
              <w:jc w:val="both"/>
            </w:pPr>
            <w:r>
              <w:rPr>
                <w:sz w:val="24"/>
                <w:szCs w:val="24"/>
              </w:rPr>
              <w:t xml:space="preserve">Chỉ tiêu dự kiến: giảm chi phí vớt, xử lý bèo trên kênh tiêu; tăng năng lực tiêu thoát tại các kênh thí điểm; thay thế một phần phân bón nhập khẩu; thời gian thực hiện 30–36 tháng. </w:t>
            </w:r>
          </w:p>
          <w:p w14:paraId="28629F3E">
            <w:pPr>
              <w:pStyle w:val="17"/>
              <w:numPr>
                <w:ilvl w:val="0"/>
                <w:numId w:val="1"/>
              </w:numPr>
              <w:spacing w:before="20" w:after="20" w:line="264" w:lineRule="auto"/>
              <w:jc w:val="both"/>
            </w:pPr>
            <w:r>
              <w:rPr>
                <w:sz w:val="24"/>
                <w:szCs w:val="24"/>
              </w:rPr>
              <w:t>Đơn vị tham gia: Công ty TNHH Nông Nghiệp Xanh Sông Giá, HTX Đầu tư Phát triển Sông Giá (cam kết pilot, dữ liệu); phối hợp: Sở NN&amp;MT, Liên minh HTX thành phố, Viện Khoa học công nghệ Năng lượng và Môi trường (Viện Hàn lâm KH&amp;CN Việt Nam), Viện Nghiên cứu Rau quả.</w:t>
            </w:r>
          </w:p>
        </w:tc>
        <w:tc>
          <w:tcPr>
            <w:tcW w:w="5757" w:type="dxa"/>
            <w:tcBorders>
              <w:top w:val="single" w:color="000000" w:sz="4" w:space="0"/>
              <w:left w:val="single" w:color="000000" w:sz="4" w:space="0"/>
              <w:bottom w:val="single" w:color="000000" w:sz="4" w:space="0"/>
              <w:right w:val="single" w:color="000000" w:sz="4" w:space="0"/>
            </w:tcBorders>
          </w:tcPr>
          <w:p w14:paraId="6A83C531">
            <w:pPr>
              <w:pStyle w:val="17"/>
              <w:spacing w:before="20" w:after="20" w:line="264" w:lineRule="auto"/>
              <w:ind w:left="200"/>
              <w:rPr>
                <w:sz w:val="24"/>
                <w:szCs w:val="24"/>
              </w:rPr>
            </w:pPr>
          </w:p>
        </w:tc>
      </w:tr>
    </w:tbl>
    <w:p w14:paraId="5B2B3FC0">
      <w:pPr>
        <w:spacing w:after="40" w:line="288" w:lineRule="auto"/>
        <w:jc w:val="center"/>
        <w:rPr>
          <w:b/>
          <w:bCs/>
        </w:rPr>
      </w:pPr>
    </w:p>
    <w:sectPr>
      <w:footerReference r:id="rId3" w:type="default"/>
      <w:pgSz w:w="16838" w:h="11906" w:orient="landscape"/>
      <w:pgMar w:top="1134" w:right="1134" w:bottom="1134" w:left="1701" w:header="709" w:footer="709"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3F1021">
    <w:pPr>
      <w:jc w:val="center"/>
    </w:pPr>
    <w:r>
      <w:rPr>
        <w:sz w:val="20"/>
        <w:szCs w:val="20"/>
      </w:rPr>
      <w:fldChar w:fldCharType="begin"/>
    </w:r>
    <w:r>
      <w:rPr>
        <w:sz w:val="20"/>
        <w:szCs w:val="20"/>
      </w:rPr>
      <w:instrText xml:space="preserve">PAGE</w:instrText>
    </w:r>
    <w:r>
      <w:rPr>
        <w:sz w:val="20"/>
        <w:szCs w:val="20"/>
      </w:rPr>
      <w:fldChar w:fldCharType="separate"/>
    </w:r>
    <w:r>
      <w:rPr>
        <w:sz w:val="20"/>
        <w:szCs w:val="20"/>
      </w:rPr>
      <w:t>1</w:t>
    </w:r>
    <w:r>
      <w:rPr>
        <w:sz w:val="20"/>
        <w:szCs w:val="20"/>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2C261B"/>
    <w:multiLevelType w:val="multilevel"/>
    <w:tmpl w:val="082C261B"/>
    <w:lvl w:ilvl="0" w:tentative="0">
      <w:start w:val="1"/>
      <w:numFmt w:val="bullet"/>
      <w:lvlText w:val="-"/>
      <w:lvlJc w:val="left"/>
      <w:pPr>
        <w:ind w:left="200" w:hanging="1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16DE"/>
    <w:rsid w:val="000435D4"/>
    <w:rsid w:val="00183E11"/>
    <w:rsid w:val="00261A29"/>
    <w:rsid w:val="00286DAE"/>
    <w:rsid w:val="002B4E28"/>
    <w:rsid w:val="00343DD0"/>
    <w:rsid w:val="00346A76"/>
    <w:rsid w:val="00392CC3"/>
    <w:rsid w:val="003B19AB"/>
    <w:rsid w:val="003F5A95"/>
    <w:rsid w:val="00494FA4"/>
    <w:rsid w:val="005055D7"/>
    <w:rsid w:val="00532716"/>
    <w:rsid w:val="006E11BE"/>
    <w:rsid w:val="008B5A22"/>
    <w:rsid w:val="00925B6F"/>
    <w:rsid w:val="00A729DF"/>
    <w:rsid w:val="00AB345D"/>
    <w:rsid w:val="00B01FA7"/>
    <w:rsid w:val="00B829A0"/>
    <w:rsid w:val="00C25265"/>
    <w:rsid w:val="00C80571"/>
    <w:rsid w:val="00C94D53"/>
    <w:rsid w:val="00CA04D7"/>
    <w:rsid w:val="00CC443D"/>
    <w:rsid w:val="00CF4C27"/>
    <w:rsid w:val="00D702A2"/>
    <w:rsid w:val="00DF2AB9"/>
    <w:rsid w:val="00EA0556"/>
    <w:rsid w:val="00EE3E76"/>
    <w:rsid w:val="00F816DE"/>
    <w:rsid w:val="00FB139E"/>
    <w:rsid w:val="00FE1644"/>
    <w:rsid w:val="25A07F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6"/>
      <w:szCs w:val="26"/>
      <w:lang w:val="en-US" w:eastAsia="en-US" w:bidi="ar-SA"/>
    </w:rPr>
  </w:style>
  <w:style w:type="paragraph" w:styleId="2">
    <w:name w:val="heading 1"/>
    <w:qFormat/>
    <w:uiPriority w:val="9"/>
    <w:pPr>
      <w:outlineLvl w:val="0"/>
    </w:pPr>
    <w:rPr>
      <w:rFonts w:ascii="Times New Roman" w:hAnsi="Times New Roman" w:eastAsia="Times New Roman" w:cs="Times New Roman"/>
      <w:color w:val="2E74B5"/>
      <w:sz w:val="32"/>
      <w:szCs w:val="32"/>
      <w:lang w:val="en-US" w:eastAsia="en-US" w:bidi="ar-SA"/>
    </w:rPr>
  </w:style>
  <w:style w:type="paragraph" w:styleId="3">
    <w:name w:val="heading 2"/>
    <w:semiHidden/>
    <w:unhideWhenUsed/>
    <w:qFormat/>
    <w:uiPriority w:val="9"/>
    <w:pPr>
      <w:outlineLvl w:val="1"/>
    </w:pPr>
    <w:rPr>
      <w:rFonts w:ascii="Times New Roman" w:hAnsi="Times New Roman" w:eastAsia="Times New Roman" w:cs="Times New Roman"/>
      <w:color w:val="2E74B5"/>
      <w:sz w:val="26"/>
      <w:szCs w:val="26"/>
      <w:lang w:val="en-US" w:eastAsia="en-US" w:bidi="ar-SA"/>
    </w:rPr>
  </w:style>
  <w:style w:type="paragraph" w:styleId="4">
    <w:name w:val="heading 3"/>
    <w:semiHidden/>
    <w:unhideWhenUsed/>
    <w:qFormat/>
    <w:uiPriority w:val="9"/>
    <w:pPr>
      <w:outlineLvl w:val="2"/>
    </w:pPr>
    <w:rPr>
      <w:rFonts w:ascii="Times New Roman" w:hAnsi="Times New Roman" w:eastAsia="Times New Roman" w:cs="Times New Roman"/>
      <w:color w:val="1F4D78"/>
      <w:sz w:val="24"/>
      <w:szCs w:val="24"/>
      <w:lang w:val="en-US" w:eastAsia="en-US" w:bidi="ar-SA"/>
    </w:rPr>
  </w:style>
  <w:style w:type="paragraph" w:styleId="5">
    <w:name w:val="heading 4"/>
    <w:semiHidden/>
    <w:unhideWhenUsed/>
    <w:qFormat/>
    <w:uiPriority w:val="9"/>
    <w:pPr>
      <w:outlineLvl w:val="3"/>
    </w:pPr>
    <w:rPr>
      <w:rFonts w:ascii="Times New Roman" w:hAnsi="Times New Roman" w:eastAsia="Times New Roman" w:cs="Times New Roman"/>
      <w:i/>
      <w:iCs/>
      <w:color w:val="2E74B5"/>
      <w:sz w:val="26"/>
      <w:szCs w:val="26"/>
      <w:lang w:val="en-US" w:eastAsia="en-US" w:bidi="ar-SA"/>
    </w:rPr>
  </w:style>
  <w:style w:type="paragraph" w:styleId="6">
    <w:name w:val="heading 5"/>
    <w:semiHidden/>
    <w:unhideWhenUsed/>
    <w:qFormat/>
    <w:uiPriority w:val="9"/>
    <w:pPr>
      <w:outlineLvl w:val="4"/>
    </w:pPr>
    <w:rPr>
      <w:rFonts w:ascii="Times New Roman" w:hAnsi="Times New Roman" w:eastAsia="Times New Roman" w:cs="Times New Roman"/>
      <w:color w:val="2E74B5"/>
      <w:sz w:val="26"/>
      <w:szCs w:val="26"/>
      <w:lang w:val="en-US" w:eastAsia="en-US" w:bidi="ar-SA"/>
    </w:rPr>
  </w:style>
  <w:style w:type="paragraph" w:styleId="7">
    <w:name w:val="heading 6"/>
    <w:semiHidden/>
    <w:unhideWhenUsed/>
    <w:qFormat/>
    <w:uiPriority w:val="9"/>
    <w:pPr>
      <w:outlineLvl w:val="5"/>
    </w:pPr>
    <w:rPr>
      <w:rFonts w:ascii="Times New Roman" w:hAnsi="Times New Roman" w:eastAsia="Times New Roman" w:cs="Times New Roman"/>
      <w:color w:val="1F4D78"/>
      <w:sz w:val="26"/>
      <w:szCs w:val="26"/>
      <w:lang w:val="en-US" w:eastAsia="en-US" w:bidi="ar-SA"/>
    </w:rPr>
  </w:style>
  <w:style w:type="character" w:default="1" w:styleId="8">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character" w:styleId="10">
    <w:name w:val="endnote reference"/>
    <w:semiHidden/>
    <w:unhideWhenUsed/>
    <w:uiPriority w:val="99"/>
    <w:rPr>
      <w:vertAlign w:val="superscript"/>
    </w:rPr>
  </w:style>
  <w:style w:type="paragraph" w:styleId="11">
    <w:name w:val="endnote text"/>
    <w:link w:val="19"/>
    <w:semiHidden/>
    <w:unhideWhenUsed/>
    <w:uiPriority w:val="99"/>
    <w:rPr>
      <w:rFonts w:ascii="Times New Roman" w:hAnsi="Times New Roman" w:eastAsia="Times New Roman" w:cs="Times New Roman"/>
      <w:sz w:val="20"/>
      <w:szCs w:val="20"/>
      <w:lang w:val="en-US" w:eastAsia="en-US" w:bidi="ar-SA"/>
    </w:rPr>
  </w:style>
  <w:style w:type="character" w:styleId="12">
    <w:name w:val="footnote reference"/>
    <w:semiHidden/>
    <w:unhideWhenUsed/>
    <w:qFormat/>
    <w:uiPriority w:val="99"/>
    <w:rPr>
      <w:vertAlign w:val="superscript"/>
    </w:rPr>
  </w:style>
  <w:style w:type="paragraph" w:styleId="13">
    <w:name w:val="footnote text"/>
    <w:link w:val="18"/>
    <w:semiHidden/>
    <w:unhideWhenUsed/>
    <w:qFormat/>
    <w:uiPriority w:val="99"/>
    <w:rPr>
      <w:rFonts w:ascii="Times New Roman" w:hAnsi="Times New Roman" w:eastAsia="Times New Roman" w:cs="Times New Roman"/>
      <w:sz w:val="20"/>
      <w:szCs w:val="20"/>
      <w:lang w:val="en-US" w:eastAsia="en-US" w:bidi="ar-SA"/>
    </w:rPr>
  </w:style>
  <w:style w:type="character" w:styleId="14">
    <w:name w:val="Hyperlink"/>
    <w:unhideWhenUsed/>
    <w:qFormat/>
    <w:uiPriority w:val="99"/>
    <w:rPr>
      <w:color w:val="0563C1"/>
      <w:u w:val="single"/>
    </w:rPr>
  </w:style>
  <w:style w:type="paragraph" w:styleId="15">
    <w:name w:val="Title"/>
    <w:qFormat/>
    <w:uiPriority w:val="10"/>
    <w:rPr>
      <w:rFonts w:ascii="Times New Roman" w:hAnsi="Times New Roman" w:eastAsia="Times New Roman" w:cs="Times New Roman"/>
      <w:sz w:val="56"/>
      <w:szCs w:val="56"/>
      <w:lang w:val="en-US" w:eastAsia="en-US" w:bidi="ar-SA"/>
    </w:rPr>
  </w:style>
  <w:style w:type="paragraph" w:customStyle="1" w:styleId="16">
    <w:name w:val="Strong1"/>
    <w:qFormat/>
    <w:uiPriority w:val="0"/>
    <w:rPr>
      <w:rFonts w:ascii="Times New Roman" w:hAnsi="Times New Roman" w:eastAsia="Times New Roman" w:cs="Times New Roman"/>
      <w:b/>
      <w:bCs/>
      <w:sz w:val="26"/>
      <w:szCs w:val="26"/>
      <w:lang w:val="en-US" w:eastAsia="en-US" w:bidi="ar-SA"/>
    </w:rPr>
  </w:style>
  <w:style w:type="paragraph" w:styleId="17">
    <w:name w:val="List Paragraph"/>
    <w:qFormat/>
    <w:uiPriority w:val="0"/>
    <w:rPr>
      <w:rFonts w:ascii="Times New Roman" w:hAnsi="Times New Roman" w:eastAsia="Times New Roman" w:cs="Times New Roman"/>
      <w:sz w:val="26"/>
      <w:szCs w:val="26"/>
      <w:lang w:val="en-US" w:eastAsia="en-US" w:bidi="ar-SA"/>
    </w:rPr>
  </w:style>
  <w:style w:type="character" w:customStyle="1" w:styleId="18">
    <w:name w:val="Footnote Text Char"/>
    <w:link w:val="13"/>
    <w:semiHidden/>
    <w:unhideWhenUsed/>
    <w:qFormat/>
    <w:uiPriority w:val="99"/>
    <w:rPr>
      <w:sz w:val="20"/>
      <w:szCs w:val="20"/>
    </w:rPr>
  </w:style>
  <w:style w:type="character" w:customStyle="1" w:styleId="19">
    <w:name w:val="Endnote Text Char"/>
    <w:link w:val="11"/>
    <w:semiHidden/>
    <w:unhideWhenUsed/>
    <w:qFormat/>
    <w:uiPriority w:val="99"/>
    <w:rPr>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900</Words>
  <Characters>3262</Characters>
  <Lines>29</Lines>
  <Paragraphs>8</Paragraphs>
  <TotalTime>3</TotalTime>
  <ScaleCrop>false</ScaleCrop>
  <LinksUpToDate>false</LinksUpToDate>
  <CharactersWithSpaces>4140</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2026-10-15T11:02:00Z</dcterms:created>
  <dc:creator>Un-named</dc:creator>
  <cp:lastModifiedBy>PC Nhung</cp:lastModifiedBy>
  <dcterms:modified xsi:type="dcterms:W3CDTF">2026-10-16T08:08:07Z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2026-10-15T10:07:54Z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4c604c23-db45-4730-9f25-8faa108b6403</vt:lpwstr>
  </property>
  <property fmtid="{D5CDD505-2E9C-101B-9397-08002B2CF9AE}" pid="7" name="MSIP_Label_defa4170-0d19-0005-0004-bc88714345d2_ActionId">
    <vt:lpwstr>de97792a-b9a3-4c20-b557-630b1de40fd7</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KSOProductBuildVer">
    <vt:lpwstr>1033-12.1.0.29162</vt:lpwstr>
  </property>
  <property fmtid="{D5CDD505-2E9C-101B-9397-08002B2CF9AE}" pid="11" name="ICV">
    <vt:lpwstr>A7D5B8C0E3274C08A6A3612F86634D7A_13</vt:lpwstr>
  </property>
</Properties>
</file>